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27" w:rsidRPr="00357330" w:rsidRDefault="00CC5827" w:rsidP="00395F38">
      <w:pPr>
        <w:pStyle w:val="Default"/>
        <w:spacing w:line="400" w:lineRule="exact"/>
        <w:ind w:leftChars="-1" w:left="-2"/>
        <w:rPr>
          <w:rFonts w:ascii="Times New Roman" w:hAnsi="Times New Roman" w:cs="Times New Roman"/>
          <w:b/>
          <w:sz w:val="32"/>
          <w:szCs w:val="36"/>
        </w:rPr>
      </w:pPr>
      <w:r w:rsidRPr="00357330">
        <w:rPr>
          <w:rFonts w:ascii="Times New Roman" w:hAnsi="Times New Roman" w:cs="Times New Roman"/>
          <w:b/>
          <w:sz w:val="32"/>
          <w:szCs w:val="36"/>
        </w:rPr>
        <w:t>Kaohsiung Medical University</w:t>
      </w:r>
    </w:p>
    <w:p w:rsidR="00CC5827" w:rsidRPr="00357330" w:rsidRDefault="00CC5827" w:rsidP="00395F38">
      <w:pPr>
        <w:pStyle w:val="Default"/>
        <w:spacing w:line="400" w:lineRule="exact"/>
        <w:rPr>
          <w:rFonts w:ascii="Times New Roman" w:hAnsi="Times New Roman" w:cs="Times New Roman"/>
          <w:b/>
          <w:sz w:val="32"/>
          <w:szCs w:val="36"/>
        </w:rPr>
      </w:pPr>
      <w:r w:rsidRPr="00357330">
        <w:rPr>
          <w:rFonts w:ascii="Times New Roman" w:hAnsi="Times New Roman" w:cs="Times New Roman"/>
          <w:b/>
          <w:sz w:val="32"/>
          <w:szCs w:val="36"/>
        </w:rPr>
        <w:t>Guidelines for</w:t>
      </w:r>
      <w:r w:rsidR="00395F38">
        <w:rPr>
          <w:rFonts w:ascii="Times New Roman" w:hAnsi="Times New Roman" w:cs="Times New Roman" w:hint="eastAsia"/>
          <w:b/>
          <w:sz w:val="32"/>
          <w:szCs w:val="36"/>
        </w:rPr>
        <w:t xml:space="preserve"> </w:t>
      </w:r>
      <w:r w:rsidR="00D21237">
        <w:rPr>
          <w:rFonts w:ascii="Times New Roman" w:hAnsi="Times New Roman" w:cs="Times New Roman" w:hint="eastAsia"/>
          <w:b/>
          <w:sz w:val="32"/>
          <w:szCs w:val="36"/>
        </w:rPr>
        <w:t>Tuition Refund</w:t>
      </w:r>
      <w:r w:rsidR="00D41EF4">
        <w:rPr>
          <w:rFonts w:ascii="Times New Roman" w:hAnsi="Times New Roman" w:cs="Times New Roman" w:hint="eastAsia"/>
          <w:b/>
          <w:sz w:val="32"/>
          <w:szCs w:val="36"/>
        </w:rPr>
        <w:t xml:space="preserve"> for</w:t>
      </w:r>
      <w:bookmarkStart w:id="0" w:name="_GoBack"/>
      <w:bookmarkEnd w:id="0"/>
      <w:r w:rsidRPr="00357330">
        <w:rPr>
          <w:rFonts w:ascii="Times New Roman" w:hAnsi="Times New Roman" w:cs="Times New Roman"/>
          <w:b/>
          <w:sz w:val="32"/>
          <w:szCs w:val="36"/>
        </w:rPr>
        <w:t xml:space="preserve"> Withdrawal and Suspension </w:t>
      </w:r>
    </w:p>
    <w:p w:rsidR="00AF6211" w:rsidRPr="00357330" w:rsidRDefault="00AF6211" w:rsidP="00AF6211">
      <w:pPr>
        <w:pStyle w:val="Default"/>
        <w:spacing w:line="400" w:lineRule="exact"/>
        <w:ind w:left="-567" w:firstLineChars="150" w:firstLine="480"/>
        <w:rPr>
          <w:rFonts w:ascii="Times New Roman" w:hAnsi="Times New Roman" w:cs="Times New Roman"/>
          <w:b/>
          <w:sz w:val="32"/>
          <w:szCs w:val="36"/>
        </w:rPr>
      </w:pPr>
    </w:p>
    <w:tbl>
      <w:tblPr>
        <w:tblStyle w:val="a3"/>
        <w:tblW w:w="5528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75"/>
        <w:gridCol w:w="4253"/>
      </w:tblGrid>
      <w:tr w:rsidR="00CC5827" w:rsidRPr="00357330" w:rsidTr="00096B6E">
        <w:trPr>
          <w:cantSplit/>
          <w:trHeight w:val="375"/>
        </w:trPr>
        <w:tc>
          <w:tcPr>
            <w:tcW w:w="1275" w:type="dxa"/>
            <w:shd w:val="clear" w:color="auto" w:fill="auto"/>
          </w:tcPr>
          <w:p w:rsidR="00CC5827" w:rsidRPr="00DC7EF6" w:rsidRDefault="00AF6211" w:rsidP="00DC7EF6">
            <w:pPr>
              <w:snapToGrid w:val="0"/>
              <w:spacing w:line="240" w:lineRule="atLeast"/>
              <w:ind w:rightChars="-45" w:right="-108"/>
              <w:jc w:val="both"/>
              <w:rPr>
                <w:sz w:val="18"/>
                <w:szCs w:val="18"/>
              </w:rPr>
            </w:pPr>
            <w:r w:rsidRPr="00DC7EF6">
              <w:rPr>
                <w:sz w:val="18"/>
                <w:szCs w:val="18"/>
              </w:rPr>
              <w:t>Sept 11, 2013</w:t>
            </w:r>
          </w:p>
        </w:tc>
        <w:tc>
          <w:tcPr>
            <w:tcW w:w="4253" w:type="dxa"/>
            <w:shd w:val="clear" w:color="auto" w:fill="auto"/>
          </w:tcPr>
          <w:p w:rsidR="00CC5827" w:rsidRPr="00DC7EF6" w:rsidRDefault="00395F38" w:rsidP="00DC7EF6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F6211" w:rsidRPr="00DC7EF6">
              <w:rPr>
                <w:sz w:val="18"/>
                <w:szCs w:val="18"/>
              </w:rPr>
              <w:t xml:space="preserve">at the 1st. academic </w:t>
            </w:r>
            <w:r>
              <w:rPr>
                <w:rFonts w:hint="eastAsia"/>
                <w:sz w:val="18"/>
                <w:szCs w:val="18"/>
              </w:rPr>
              <w:t xml:space="preserve">affair </w:t>
            </w:r>
            <w:r w:rsidR="00AF6211" w:rsidRPr="00DC7EF6">
              <w:rPr>
                <w:sz w:val="18"/>
                <w:szCs w:val="18"/>
              </w:rPr>
              <w:t>meeting</w:t>
            </w:r>
            <w:r w:rsidR="00D21237">
              <w:rPr>
                <w:rFonts w:hint="eastAsia"/>
                <w:sz w:val="18"/>
                <w:szCs w:val="18"/>
              </w:rPr>
              <w:t xml:space="preserve"> academic year 2013</w:t>
            </w:r>
          </w:p>
        </w:tc>
      </w:tr>
      <w:tr w:rsidR="00CC5827" w:rsidRPr="00357330" w:rsidTr="00096B6E">
        <w:trPr>
          <w:cantSplit/>
          <w:trHeight w:val="366"/>
        </w:trPr>
        <w:tc>
          <w:tcPr>
            <w:tcW w:w="1275" w:type="dxa"/>
            <w:shd w:val="clear" w:color="auto" w:fill="auto"/>
          </w:tcPr>
          <w:p w:rsidR="00CC5827" w:rsidRPr="00DC7EF6" w:rsidRDefault="00AF6211" w:rsidP="00DC7EF6">
            <w:pPr>
              <w:snapToGrid w:val="0"/>
              <w:spacing w:line="240" w:lineRule="atLeast"/>
              <w:ind w:rightChars="-45" w:right="-108"/>
              <w:jc w:val="both"/>
              <w:rPr>
                <w:sz w:val="18"/>
                <w:szCs w:val="18"/>
              </w:rPr>
            </w:pPr>
            <w:r w:rsidRPr="00DC7EF6">
              <w:rPr>
                <w:sz w:val="18"/>
                <w:szCs w:val="18"/>
              </w:rPr>
              <w:t>Nov 8, 2013</w:t>
            </w:r>
          </w:p>
        </w:tc>
        <w:tc>
          <w:tcPr>
            <w:tcW w:w="4253" w:type="dxa"/>
            <w:shd w:val="clear" w:color="auto" w:fill="auto"/>
          </w:tcPr>
          <w:p w:rsidR="00CC5827" w:rsidRPr="00DC7EF6" w:rsidRDefault="00AF6211" w:rsidP="00DC7EF6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DC7EF6">
              <w:rPr>
                <w:sz w:val="18"/>
                <w:szCs w:val="18"/>
              </w:rPr>
              <w:t>Approved at the 3rd</w:t>
            </w:r>
            <w:r w:rsidR="00DC7EF6">
              <w:rPr>
                <w:sz w:val="18"/>
                <w:szCs w:val="18"/>
              </w:rPr>
              <w:t>.</w:t>
            </w:r>
            <w:r w:rsidR="00DC7EF6">
              <w:rPr>
                <w:rFonts w:hint="eastAsia"/>
                <w:sz w:val="18"/>
                <w:szCs w:val="18"/>
              </w:rPr>
              <w:t xml:space="preserve"> </w:t>
            </w:r>
            <w:r w:rsidRPr="00DC7EF6">
              <w:rPr>
                <w:sz w:val="18"/>
                <w:szCs w:val="18"/>
              </w:rPr>
              <w:t>administrative meeting</w:t>
            </w:r>
            <w:r w:rsidR="00D21237">
              <w:rPr>
                <w:rFonts w:hint="eastAsia"/>
                <w:sz w:val="18"/>
                <w:szCs w:val="18"/>
              </w:rPr>
              <w:t xml:space="preserve"> academic year 2013</w:t>
            </w:r>
          </w:p>
        </w:tc>
      </w:tr>
      <w:tr w:rsidR="00CC5827" w:rsidRPr="00357330" w:rsidTr="00096B6E">
        <w:trPr>
          <w:cantSplit/>
          <w:trHeight w:val="382"/>
        </w:trPr>
        <w:tc>
          <w:tcPr>
            <w:tcW w:w="1275" w:type="dxa"/>
            <w:shd w:val="clear" w:color="auto" w:fill="auto"/>
          </w:tcPr>
          <w:p w:rsidR="00CC5827" w:rsidRPr="00DC7EF6" w:rsidRDefault="00AF6211" w:rsidP="00DC7EF6">
            <w:pPr>
              <w:snapToGrid w:val="0"/>
              <w:spacing w:line="240" w:lineRule="atLeast"/>
              <w:ind w:rightChars="-45" w:right="-108"/>
              <w:jc w:val="both"/>
              <w:rPr>
                <w:sz w:val="18"/>
                <w:szCs w:val="18"/>
              </w:rPr>
            </w:pPr>
            <w:r w:rsidRPr="00DC7EF6">
              <w:rPr>
                <w:sz w:val="18"/>
                <w:szCs w:val="18"/>
              </w:rPr>
              <w:t>Nov 21, 2013</w:t>
            </w:r>
          </w:p>
        </w:tc>
        <w:tc>
          <w:tcPr>
            <w:tcW w:w="4253" w:type="dxa"/>
            <w:shd w:val="clear" w:color="auto" w:fill="auto"/>
          </w:tcPr>
          <w:p w:rsidR="00CC5827" w:rsidRPr="00DC7EF6" w:rsidRDefault="00D21237" w:rsidP="00D21237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Announced on</w:t>
            </w:r>
            <w:r w:rsidR="00395F38">
              <w:rPr>
                <w:rFonts w:hint="eastAsia"/>
                <w:sz w:val="18"/>
                <w:szCs w:val="18"/>
              </w:rPr>
              <w:t xml:space="preserve"> letter </w:t>
            </w:r>
            <w:r>
              <w:rPr>
                <w:rFonts w:hint="eastAsia"/>
                <w:sz w:val="18"/>
                <w:szCs w:val="18"/>
              </w:rPr>
              <w:t xml:space="preserve">ref. KMU Jiao </w:t>
            </w:r>
            <w:proofErr w:type="spellStart"/>
            <w:r>
              <w:rPr>
                <w:rFonts w:hint="eastAsia"/>
                <w:sz w:val="18"/>
                <w:szCs w:val="18"/>
              </w:rPr>
              <w:t>Zi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395F38">
              <w:rPr>
                <w:rFonts w:hint="eastAsia"/>
                <w:sz w:val="18"/>
                <w:szCs w:val="18"/>
              </w:rPr>
              <w:t>No</w:t>
            </w:r>
            <w:r w:rsidR="00357330" w:rsidRPr="00DC7EF6">
              <w:rPr>
                <w:sz w:val="18"/>
                <w:szCs w:val="18"/>
              </w:rPr>
              <w:t>. 1021103614</w:t>
            </w:r>
          </w:p>
        </w:tc>
      </w:tr>
    </w:tbl>
    <w:tbl>
      <w:tblPr>
        <w:tblStyle w:val="a3"/>
        <w:tblpPr w:leftFromText="180" w:rightFromText="180" w:vertAnchor="text" w:horzAnchor="margin" w:tblpY="307"/>
        <w:tblW w:w="8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3"/>
        <w:gridCol w:w="7972"/>
      </w:tblGrid>
      <w:tr w:rsidR="00096B6E" w:rsidRPr="00357330" w:rsidTr="00096B6E">
        <w:trPr>
          <w:cantSplit/>
          <w:trHeight w:val="145"/>
        </w:trPr>
        <w:tc>
          <w:tcPr>
            <w:tcW w:w="433" w:type="dxa"/>
          </w:tcPr>
          <w:p w:rsidR="00096B6E" w:rsidRPr="00357330" w:rsidRDefault="00096B6E" w:rsidP="00096B6E">
            <w:pPr>
              <w:pStyle w:val="Default"/>
              <w:numPr>
                <w:ilvl w:val="0"/>
                <w:numId w:val="3"/>
              </w:numPr>
              <w:spacing w:line="400" w:lineRule="exact"/>
              <w:ind w:left="0" w:rightChars="-42" w:right="-101" w:firstLine="0"/>
              <w:rPr>
                <w:rFonts w:ascii="Times New Roman" w:eastAsia="新細明體" w:hAnsi="Times New Roman" w:cs="Times New Roman"/>
                <w:szCs w:val="36"/>
              </w:rPr>
            </w:pPr>
          </w:p>
        </w:tc>
        <w:tc>
          <w:tcPr>
            <w:tcW w:w="7972" w:type="dxa"/>
          </w:tcPr>
          <w:p w:rsidR="00096B6E" w:rsidRPr="00357330" w:rsidRDefault="00096B6E" w:rsidP="00096B6E">
            <w:pPr>
              <w:snapToGrid w:val="0"/>
              <w:spacing w:line="240" w:lineRule="atLeast"/>
              <w:jc w:val="both"/>
              <w:rPr>
                <w:b/>
                <w:szCs w:val="36"/>
              </w:rPr>
            </w:pPr>
            <w:r w:rsidRPr="00357330">
              <w:t xml:space="preserve">These </w:t>
            </w:r>
            <w:r w:rsidRPr="00357330">
              <w:rPr>
                <w:bCs/>
              </w:rPr>
              <w:t>guidelines</w:t>
            </w:r>
            <w:r w:rsidRPr="00357330">
              <w:t xml:space="preserve"> were established to better deal with refunding issues occurring when students apply for temporary suspension, withdrawal from Kaohsiung Medical University (</w:t>
            </w:r>
            <w:r>
              <w:rPr>
                <w:rFonts w:hint="eastAsia"/>
              </w:rPr>
              <w:t>hereinafter</w:t>
            </w:r>
            <w:r>
              <w:t xml:space="preserve"> referred</w:t>
            </w:r>
            <w:r w:rsidRPr="00357330">
              <w:t xml:space="preserve"> as KMU).</w:t>
            </w:r>
          </w:p>
        </w:tc>
      </w:tr>
      <w:tr w:rsidR="00096B6E" w:rsidRPr="00357330" w:rsidTr="00096B6E">
        <w:trPr>
          <w:cantSplit/>
          <w:trHeight w:val="145"/>
        </w:trPr>
        <w:tc>
          <w:tcPr>
            <w:tcW w:w="433" w:type="dxa"/>
          </w:tcPr>
          <w:p w:rsidR="00096B6E" w:rsidRPr="00357330" w:rsidRDefault="00096B6E" w:rsidP="00096B6E">
            <w:pPr>
              <w:pStyle w:val="Default"/>
              <w:numPr>
                <w:ilvl w:val="0"/>
                <w:numId w:val="3"/>
              </w:numPr>
              <w:spacing w:line="400" w:lineRule="exact"/>
              <w:ind w:left="0" w:firstLine="0"/>
              <w:rPr>
                <w:rFonts w:ascii="Times New Roman" w:eastAsia="新細明體" w:hAnsi="Times New Roman" w:cs="Times New Roman"/>
                <w:szCs w:val="36"/>
              </w:rPr>
            </w:pPr>
          </w:p>
        </w:tc>
        <w:tc>
          <w:tcPr>
            <w:tcW w:w="7972" w:type="dxa"/>
          </w:tcPr>
          <w:p w:rsidR="00096B6E" w:rsidRPr="00357330" w:rsidRDefault="00096B6E" w:rsidP="00096B6E">
            <w:pPr>
              <w:snapToGrid w:val="0"/>
              <w:spacing w:line="240" w:lineRule="atLeast"/>
              <w:jc w:val="both"/>
            </w:pPr>
            <w:r w:rsidRPr="00357330">
              <w:t>Students who apply for suspension or withdrawal can be refunded</w:t>
            </w:r>
            <w:r>
              <w:rPr>
                <w:rFonts w:hint="eastAsia"/>
              </w:rPr>
              <w:t xml:space="preserve"> with tuitions</w:t>
            </w:r>
            <w:r w:rsidRPr="00357330">
              <w:t xml:space="preserve"> in accordance </w:t>
            </w:r>
            <w:r>
              <w:rPr>
                <w:rFonts w:hint="eastAsia"/>
              </w:rPr>
              <w:t xml:space="preserve">with different percentage </w:t>
            </w:r>
            <w:r w:rsidRPr="00357330">
              <w:t>as follows:</w:t>
            </w:r>
          </w:p>
          <w:p w:rsidR="00096B6E" w:rsidRPr="00357330" w:rsidRDefault="00096B6E" w:rsidP="00096B6E">
            <w:pPr>
              <w:pStyle w:val="Default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357330">
              <w:rPr>
                <w:rFonts w:ascii="Times New Roman" w:eastAsia="新細明體" w:hAnsi="Times New Roman" w:cs="Times New Roman"/>
                <w:color w:val="auto"/>
                <w:kern w:val="2"/>
              </w:rPr>
              <w:t xml:space="preserve">Students who suspend or withdraw their study prior to the beginning of a semester can receive 100% refund. </w:t>
            </w:r>
          </w:p>
          <w:p w:rsidR="00096B6E" w:rsidRPr="00357330" w:rsidRDefault="00096B6E" w:rsidP="00096B6E">
            <w:pPr>
              <w:pStyle w:val="Default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357330">
              <w:rPr>
                <w:rFonts w:ascii="Times New Roman" w:eastAsia="新細明體" w:hAnsi="Times New Roman" w:cs="Times New Roman"/>
                <w:color w:val="auto"/>
                <w:kern w:val="2"/>
              </w:rPr>
              <w:t xml:space="preserve">Students who apply for suspension or withdrawal before 1/3 of the semester surpasses can get 2/3 refund of the total tuitions.  Those who register with miscellaneous base fees shall get refund of 2/3 from the total amount of the miscellaneous fees, credit fees and the other expenses. </w:t>
            </w:r>
          </w:p>
          <w:p w:rsidR="00096B6E" w:rsidRPr="00096B6E" w:rsidRDefault="00096B6E" w:rsidP="00096B6E">
            <w:pPr>
              <w:pStyle w:val="Default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357330">
              <w:rPr>
                <w:rFonts w:ascii="Times New Roman" w:eastAsia="新細明體" w:hAnsi="Times New Roman" w:cs="Times New Roman"/>
                <w:color w:val="auto"/>
                <w:kern w:val="2"/>
              </w:rPr>
              <w:t>If 1/3 of the semesters has surpassed and not yet exceeded 2/3 of it, the applicants can be refunded 2/3 of the total tuition fees.  Students who register with miscellaneous fees shall get refund of 1/3 from the total amount of miscellaneous fees, credit fees and other expenses.</w:t>
            </w:r>
          </w:p>
          <w:p w:rsidR="00096B6E" w:rsidRPr="00357330" w:rsidRDefault="00096B6E" w:rsidP="00096B6E">
            <w:pPr>
              <w:pStyle w:val="Default"/>
              <w:spacing w:line="240" w:lineRule="atLeas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357330">
              <w:rPr>
                <w:rFonts w:ascii="Times New Roman" w:eastAsia="新細明體" w:hAnsi="Times New Roman" w:cs="Times New Roman"/>
                <w:color w:val="auto"/>
                <w:kern w:val="2"/>
              </w:rPr>
              <w:t>Applicants who submit requirement for suspension or drop of school after 2/3 of the new semester shall not get refund from the miscellaneous fees, miscellaneous base fees and other expenses.</w:t>
            </w:r>
          </w:p>
        </w:tc>
      </w:tr>
      <w:tr w:rsidR="00096B6E" w:rsidRPr="00357330" w:rsidTr="00096B6E">
        <w:trPr>
          <w:cantSplit/>
          <w:trHeight w:val="145"/>
        </w:trPr>
        <w:tc>
          <w:tcPr>
            <w:tcW w:w="433" w:type="dxa"/>
          </w:tcPr>
          <w:p w:rsidR="00096B6E" w:rsidRPr="00357330" w:rsidRDefault="00096B6E" w:rsidP="00096B6E">
            <w:pPr>
              <w:pStyle w:val="Default"/>
              <w:numPr>
                <w:ilvl w:val="0"/>
                <w:numId w:val="3"/>
              </w:numPr>
              <w:spacing w:line="400" w:lineRule="exact"/>
              <w:ind w:left="0" w:firstLine="0"/>
              <w:rPr>
                <w:rFonts w:ascii="Times New Roman" w:eastAsia="新細明體" w:hAnsi="Times New Roman" w:cs="Times New Roman"/>
                <w:szCs w:val="36"/>
              </w:rPr>
            </w:pPr>
          </w:p>
        </w:tc>
        <w:tc>
          <w:tcPr>
            <w:tcW w:w="7972" w:type="dxa"/>
          </w:tcPr>
          <w:p w:rsidR="00096B6E" w:rsidRPr="00357330" w:rsidRDefault="00096B6E" w:rsidP="00096B6E">
            <w:pPr>
              <w:snapToGrid w:val="0"/>
              <w:spacing w:line="240" w:lineRule="atLeast"/>
              <w:jc w:val="both"/>
            </w:pPr>
            <w:r w:rsidRPr="00357330">
              <w:t xml:space="preserve">Before the termination of enrollment for vacancy, students who apply for withdrawal can get 100% </w:t>
            </w:r>
            <w:proofErr w:type="gramStart"/>
            <w:r w:rsidRPr="00357330">
              <w:t>refund,</w:t>
            </w:r>
            <w:proofErr w:type="gramEnd"/>
            <w:r w:rsidRPr="00357330">
              <w:t xml:space="preserve"> and this case also applies to applicants of school suspension in spite of the enrollment for vacancy has surpassed.</w:t>
            </w:r>
          </w:p>
        </w:tc>
      </w:tr>
      <w:tr w:rsidR="00096B6E" w:rsidRPr="00357330" w:rsidTr="00096B6E">
        <w:trPr>
          <w:cantSplit/>
          <w:trHeight w:val="145"/>
        </w:trPr>
        <w:tc>
          <w:tcPr>
            <w:tcW w:w="433" w:type="dxa"/>
          </w:tcPr>
          <w:p w:rsidR="00096B6E" w:rsidRPr="00357330" w:rsidRDefault="00096B6E" w:rsidP="00096B6E">
            <w:pPr>
              <w:pStyle w:val="Default"/>
              <w:numPr>
                <w:ilvl w:val="0"/>
                <w:numId w:val="3"/>
              </w:numPr>
              <w:spacing w:line="400" w:lineRule="exact"/>
              <w:ind w:left="0" w:firstLine="0"/>
              <w:rPr>
                <w:rFonts w:ascii="Times New Roman" w:eastAsia="新細明體" w:hAnsi="Times New Roman" w:cs="Times New Roman"/>
                <w:szCs w:val="36"/>
              </w:rPr>
            </w:pPr>
          </w:p>
        </w:tc>
        <w:tc>
          <w:tcPr>
            <w:tcW w:w="7972" w:type="dxa"/>
          </w:tcPr>
          <w:p w:rsidR="00096B6E" w:rsidRPr="00357330" w:rsidRDefault="00096B6E" w:rsidP="00096B6E">
            <w:pPr>
              <w:snapToGrid w:val="0"/>
              <w:spacing w:line="240" w:lineRule="atLeast"/>
              <w:jc w:val="both"/>
            </w:pPr>
            <w:r w:rsidRPr="00357330">
              <w:t>Students who suspend school for the two semesters in a row do not have to pay tuitions in the second semester.</w:t>
            </w:r>
          </w:p>
        </w:tc>
      </w:tr>
      <w:tr w:rsidR="00096B6E" w:rsidRPr="00357330" w:rsidTr="00096B6E">
        <w:trPr>
          <w:cantSplit/>
          <w:trHeight w:val="145"/>
        </w:trPr>
        <w:tc>
          <w:tcPr>
            <w:tcW w:w="433" w:type="dxa"/>
          </w:tcPr>
          <w:p w:rsidR="00096B6E" w:rsidRPr="00357330" w:rsidRDefault="00096B6E" w:rsidP="00096B6E">
            <w:pPr>
              <w:pStyle w:val="Default"/>
              <w:numPr>
                <w:ilvl w:val="0"/>
                <w:numId w:val="3"/>
              </w:numPr>
              <w:spacing w:line="400" w:lineRule="exact"/>
              <w:ind w:left="0" w:firstLine="0"/>
              <w:rPr>
                <w:rFonts w:ascii="Times New Roman" w:eastAsia="新細明體" w:hAnsi="Times New Roman" w:cs="Times New Roman"/>
                <w:szCs w:val="36"/>
              </w:rPr>
            </w:pPr>
          </w:p>
        </w:tc>
        <w:tc>
          <w:tcPr>
            <w:tcW w:w="7972" w:type="dxa"/>
          </w:tcPr>
          <w:p w:rsidR="00096B6E" w:rsidRPr="00357330" w:rsidRDefault="00096B6E" w:rsidP="00096B6E">
            <w:pPr>
              <w:snapToGrid w:val="0"/>
              <w:spacing w:line="240" w:lineRule="atLeast"/>
              <w:jc w:val="both"/>
            </w:pPr>
            <w:r w:rsidRPr="00357330">
              <w:t>Refund would start on the date:</w:t>
            </w:r>
          </w:p>
          <w:p w:rsidR="00096B6E" w:rsidRPr="00357330" w:rsidRDefault="00096B6E" w:rsidP="00096B6E">
            <w:pPr>
              <w:snapToGrid w:val="0"/>
              <w:spacing w:line="240" w:lineRule="atLeast"/>
              <w:ind w:left="600" w:hangingChars="250" w:hanging="600"/>
              <w:jc w:val="both"/>
            </w:pPr>
            <w:r w:rsidRPr="00357330">
              <w:t xml:space="preserve">    1. When applicants submit suspension or withdrawal application to Office of Academic Affairs and finish the leaving school leaving process. </w:t>
            </w:r>
          </w:p>
          <w:p w:rsidR="00096B6E" w:rsidRPr="00357330" w:rsidRDefault="00096B6E" w:rsidP="00096B6E">
            <w:pPr>
              <w:snapToGrid w:val="0"/>
              <w:spacing w:line="240" w:lineRule="atLeast"/>
              <w:ind w:left="600" w:hangingChars="250" w:hanging="600"/>
              <w:jc w:val="both"/>
            </w:pPr>
            <w:r w:rsidRPr="00357330">
              <w:t xml:space="preserve">    2. When the notice of withdrawal is sent out to notify the enforcement of suspension and withdrawal. However, on conditions of appeals, the applicants still continues education in school; the refund would take effective on the day of actual school leaving.</w:t>
            </w:r>
          </w:p>
        </w:tc>
      </w:tr>
      <w:tr w:rsidR="00096B6E" w:rsidRPr="00357330" w:rsidTr="00096B6E">
        <w:trPr>
          <w:cantSplit/>
          <w:trHeight w:val="145"/>
        </w:trPr>
        <w:tc>
          <w:tcPr>
            <w:tcW w:w="433" w:type="dxa"/>
          </w:tcPr>
          <w:p w:rsidR="00096B6E" w:rsidRPr="00357330" w:rsidRDefault="00096B6E" w:rsidP="00096B6E">
            <w:pPr>
              <w:pStyle w:val="Default"/>
              <w:numPr>
                <w:ilvl w:val="0"/>
                <w:numId w:val="3"/>
              </w:numPr>
              <w:spacing w:line="400" w:lineRule="exact"/>
              <w:ind w:left="0" w:firstLine="0"/>
              <w:rPr>
                <w:rFonts w:ascii="Times New Roman" w:eastAsia="新細明體" w:hAnsi="Times New Roman" w:cs="Times New Roman"/>
                <w:szCs w:val="36"/>
              </w:rPr>
            </w:pPr>
          </w:p>
        </w:tc>
        <w:tc>
          <w:tcPr>
            <w:tcW w:w="7972" w:type="dxa"/>
          </w:tcPr>
          <w:p w:rsidR="00096B6E" w:rsidRPr="00357330" w:rsidRDefault="00096B6E" w:rsidP="00096B6E">
            <w:pPr>
              <w:snapToGrid w:val="0"/>
              <w:spacing w:line="240" w:lineRule="atLeast"/>
              <w:jc w:val="both"/>
            </w:pPr>
            <w:r w:rsidRPr="00357330">
              <w:t xml:space="preserve">The aforesaid the beginning of the school day or a semester will be submitted to change according to the syllabus. </w:t>
            </w:r>
          </w:p>
        </w:tc>
      </w:tr>
      <w:tr w:rsidR="00096B6E" w:rsidRPr="00357330" w:rsidTr="00096B6E">
        <w:trPr>
          <w:cantSplit/>
          <w:trHeight w:val="755"/>
        </w:trPr>
        <w:tc>
          <w:tcPr>
            <w:tcW w:w="433" w:type="dxa"/>
          </w:tcPr>
          <w:p w:rsidR="00096B6E" w:rsidRPr="00357330" w:rsidRDefault="00096B6E" w:rsidP="00096B6E">
            <w:pPr>
              <w:pStyle w:val="Default"/>
              <w:numPr>
                <w:ilvl w:val="0"/>
                <w:numId w:val="3"/>
              </w:numPr>
              <w:spacing w:line="400" w:lineRule="exact"/>
              <w:ind w:left="0" w:firstLine="0"/>
              <w:rPr>
                <w:rFonts w:ascii="Times New Roman" w:eastAsia="新細明體" w:hAnsi="Times New Roman" w:cs="Times New Roman"/>
                <w:szCs w:val="36"/>
              </w:rPr>
            </w:pPr>
          </w:p>
        </w:tc>
        <w:tc>
          <w:tcPr>
            <w:tcW w:w="7972" w:type="dxa"/>
          </w:tcPr>
          <w:p w:rsidR="00096B6E" w:rsidRPr="00357330" w:rsidRDefault="00096B6E" w:rsidP="00096B6E">
            <w:pPr>
              <w:snapToGrid w:val="0"/>
              <w:spacing w:line="240" w:lineRule="atLeast"/>
              <w:jc w:val="both"/>
            </w:pPr>
            <w:r w:rsidRPr="00357330">
              <w:t xml:space="preserve">Applicants for withdrawal and suspension should prepare the invoice and account information for refund procedure. </w:t>
            </w:r>
          </w:p>
        </w:tc>
      </w:tr>
    </w:tbl>
    <w:p w:rsidR="000B3CDD" w:rsidRPr="00357330" w:rsidRDefault="000B3CDD" w:rsidP="00BE0AB3">
      <w:pPr>
        <w:pStyle w:val="Default"/>
        <w:spacing w:line="400" w:lineRule="exact"/>
        <w:rPr>
          <w:rFonts w:ascii="Times New Roman" w:eastAsia="新細明體" w:hAnsi="Times New Roman" w:cs="Times New Roman"/>
          <w:b/>
          <w:sz w:val="32"/>
          <w:szCs w:val="36"/>
        </w:rPr>
      </w:pPr>
    </w:p>
    <w:p w:rsidR="00CC5827" w:rsidRPr="00357330" w:rsidRDefault="007E79CF" w:rsidP="00357330">
      <w:pPr>
        <w:pStyle w:val="Default"/>
        <w:spacing w:line="400" w:lineRule="exact"/>
        <w:rPr>
          <w:rFonts w:ascii="Times New Roman" w:eastAsia="新細明體" w:hAnsi="Times New Roman" w:cs="Times New Roman"/>
          <w:b/>
          <w:sz w:val="32"/>
          <w:szCs w:val="36"/>
        </w:rPr>
      </w:pPr>
      <w:r>
        <w:rPr>
          <w:rFonts w:ascii="Times New Roman" w:eastAsia="新細明體" w:hAnsi="Times New Roman" w:cs="Times New Roman"/>
        </w:rPr>
        <w:t xml:space="preserve">This document is </w:t>
      </w:r>
      <w:r>
        <w:rPr>
          <w:rFonts w:ascii="Times New Roman" w:eastAsia="新細明體" w:hAnsi="Times New Roman" w:cs="Times New Roman" w:hint="eastAsia"/>
        </w:rPr>
        <w:t>approved at</w:t>
      </w:r>
      <w:r w:rsidR="00357330" w:rsidRPr="00357330">
        <w:rPr>
          <w:rFonts w:ascii="Times New Roman" w:eastAsia="新細明體" w:hAnsi="Times New Roman" w:cs="Times New Roman"/>
        </w:rPr>
        <w:t xml:space="preserve"> </w:t>
      </w:r>
      <w:r>
        <w:rPr>
          <w:rFonts w:ascii="Times New Roman" w:eastAsia="新細明體" w:hAnsi="Times New Roman" w:cs="Times New Roman" w:hint="eastAsia"/>
        </w:rPr>
        <w:t xml:space="preserve">academic affair meeting and administrative meeting, </w:t>
      </w:r>
      <w:r>
        <w:rPr>
          <w:rFonts w:ascii="Times New Roman" w:eastAsia="新細明體" w:hAnsi="Times New Roman" w:cs="Times New Roman" w:hint="eastAsia"/>
        </w:rPr>
        <w:lastRenderedPageBreak/>
        <w:t xml:space="preserve">which is also </w:t>
      </w:r>
      <w:r>
        <w:rPr>
          <w:rFonts w:ascii="Times New Roman" w:eastAsia="新細明體" w:hAnsi="Times New Roman" w:cs="Times New Roman"/>
        </w:rPr>
        <w:t>submitted</w:t>
      </w:r>
      <w:r>
        <w:rPr>
          <w:rFonts w:ascii="Times New Roman" w:eastAsia="新細明體" w:hAnsi="Times New Roman" w:cs="Times New Roman" w:hint="eastAsia"/>
        </w:rPr>
        <w:t xml:space="preserve"> to president</w:t>
      </w:r>
      <w:r>
        <w:rPr>
          <w:rFonts w:ascii="Times New Roman" w:eastAsia="新細明體" w:hAnsi="Times New Roman" w:cs="Times New Roman"/>
        </w:rPr>
        <w:t>’</w:t>
      </w:r>
      <w:r>
        <w:rPr>
          <w:rFonts w:ascii="Times New Roman" w:eastAsia="新細明體" w:hAnsi="Times New Roman" w:cs="Times New Roman" w:hint="eastAsia"/>
        </w:rPr>
        <w:t xml:space="preserve">s approval. </w:t>
      </w:r>
      <w:r w:rsidR="00357330" w:rsidRPr="00357330">
        <w:rPr>
          <w:rFonts w:ascii="Times New Roman" w:eastAsia="新細明體" w:hAnsi="Times New Roman" w:cs="Times New Roman"/>
        </w:rPr>
        <w:t xml:space="preserve">The enforcement takes effect </w:t>
      </w:r>
      <w:r>
        <w:rPr>
          <w:rFonts w:ascii="Times New Roman" w:eastAsia="新細明體" w:hAnsi="Times New Roman" w:cs="Times New Roman" w:hint="eastAsia"/>
        </w:rPr>
        <w:t>upon</w:t>
      </w:r>
      <w:r w:rsidR="00357330" w:rsidRPr="00357330">
        <w:rPr>
          <w:rFonts w:ascii="Times New Roman" w:eastAsia="新細明體" w:hAnsi="Times New Roman" w:cs="Times New Roman"/>
        </w:rPr>
        <w:t xml:space="preserve"> the announcement date</w:t>
      </w:r>
      <w:r>
        <w:rPr>
          <w:rFonts w:ascii="Times New Roman" w:eastAsia="新細明體" w:hAnsi="Times New Roman" w:cs="Times New Roman" w:hint="eastAsia"/>
        </w:rPr>
        <w:t>,</w:t>
      </w:r>
      <w:r w:rsidR="00357330" w:rsidRPr="00357330">
        <w:rPr>
          <w:rFonts w:ascii="Times New Roman" w:eastAsia="新細明體" w:hAnsi="Times New Roman" w:cs="Times New Roman"/>
        </w:rPr>
        <w:t xml:space="preserve"> which also applies to amendment.</w:t>
      </w:r>
    </w:p>
    <w:p w:rsidR="000B3CDD" w:rsidRPr="00357330" w:rsidRDefault="000B3CDD" w:rsidP="00357330">
      <w:pPr>
        <w:spacing w:line="400" w:lineRule="exact"/>
      </w:pPr>
    </w:p>
    <w:sectPr w:rsidR="000B3CDD" w:rsidRPr="00357330" w:rsidSect="00CC5827"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19" w:rsidRDefault="00446B19" w:rsidP="00D41EF4">
      <w:r>
        <w:separator/>
      </w:r>
    </w:p>
  </w:endnote>
  <w:endnote w:type="continuationSeparator" w:id="0">
    <w:p w:rsidR="00446B19" w:rsidRDefault="00446B19" w:rsidP="00D4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19" w:rsidRDefault="00446B19" w:rsidP="00D41EF4">
      <w:r>
        <w:separator/>
      </w:r>
    </w:p>
  </w:footnote>
  <w:footnote w:type="continuationSeparator" w:id="0">
    <w:p w:rsidR="00446B19" w:rsidRDefault="00446B19" w:rsidP="00D41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202"/>
    <w:multiLevelType w:val="hybridMultilevel"/>
    <w:tmpl w:val="B66A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98D"/>
    <w:multiLevelType w:val="hybridMultilevel"/>
    <w:tmpl w:val="A14A076A"/>
    <w:lvl w:ilvl="0" w:tplc="6EF4275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">
    <w:nsid w:val="46FB3E0A"/>
    <w:multiLevelType w:val="hybridMultilevel"/>
    <w:tmpl w:val="B7B04CBA"/>
    <w:lvl w:ilvl="0" w:tplc="FEC6A084">
      <w:start w:val="1"/>
      <w:numFmt w:val="upperRoman"/>
      <w:lvlText w:val="%1."/>
      <w:lvlJc w:val="left"/>
      <w:pPr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8E0A4B"/>
    <w:multiLevelType w:val="hybridMultilevel"/>
    <w:tmpl w:val="76E6C616"/>
    <w:lvl w:ilvl="0" w:tplc="90489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DFD5272"/>
    <w:multiLevelType w:val="hybridMultilevel"/>
    <w:tmpl w:val="B66AA3DC"/>
    <w:lvl w:ilvl="0" w:tplc="0409000F">
      <w:start w:val="1"/>
      <w:numFmt w:val="upperRoman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6FF72F0A"/>
    <w:multiLevelType w:val="multilevel"/>
    <w:tmpl w:val="B66AA3D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F5B05"/>
    <w:multiLevelType w:val="hybridMultilevel"/>
    <w:tmpl w:val="8AB60F2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27"/>
    <w:rsid w:val="00086DC9"/>
    <w:rsid w:val="00096B6E"/>
    <w:rsid w:val="000B3CDD"/>
    <w:rsid w:val="001545D6"/>
    <w:rsid w:val="00357330"/>
    <w:rsid w:val="00395F38"/>
    <w:rsid w:val="00446B19"/>
    <w:rsid w:val="004948E6"/>
    <w:rsid w:val="005A38C4"/>
    <w:rsid w:val="005B6EAC"/>
    <w:rsid w:val="0071375A"/>
    <w:rsid w:val="007C7F39"/>
    <w:rsid w:val="007E79CF"/>
    <w:rsid w:val="00AA22E0"/>
    <w:rsid w:val="00AF6211"/>
    <w:rsid w:val="00BE0AB3"/>
    <w:rsid w:val="00CC5827"/>
    <w:rsid w:val="00D21237"/>
    <w:rsid w:val="00D41EF4"/>
    <w:rsid w:val="00DC7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27"/>
    <w:pPr>
      <w:widowControl w:val="0"/>
    </w:pPr>
    <w:rPr>
      <w:rFonts w:ascii="Times New Roman" w:hAnsi="Times New Roman" w:cs="Times New Roman"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2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lang w:eastAsia="zh-TW"/>
    </w:rPr>
  </w:style>
  <w:style w:type="table" w:styleId="a3">
    <w:name w:val="Table Grid"/>
    <w:basedOn w:val="a1"/>
    <w:uiPriority w:val="59"/>
    <w:rsid w:val="00CC58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3CD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41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1EF4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41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1EF4"/>
    <w:rPr>
      <w:rFonts w:ascii="Times New Roman" w:hAnsi="Times New Roman" w:cs="Times New Roman"/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27"/>
    <w:pPr>
      <w:widowControl w:val="0"/>
    </w:pPr>
    <w:rPr>
      <w:rFonts w:ascii="Times New Roman" w:hAnsi="Times New Roman" w:cs="Times New Roman"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2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lang w:eastAsia="zh-TW"/>
    </w:rPr>
  </w:style>
  <w:style w:type="table" w:styleId="a3">
    <w:name w:val="Table Grid"/>
    <w:basedOn w:val="a1"/>
    <w:uiPriority w:val="59"/>
    <w:rsid w:val="00CC58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3CD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41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1EF4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41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1EF4"/>
    <w:rPr>
      <w:rFonts w:ascii="Times New Roman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B4D7-5BC2-49AB-8015-95F2D343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410</Words>
  <Characters>2337</Characters>
  <Application>Microsoft Office Word</Application>
  <DocSecurity>0</DocSecurity>
  <Lines>19</Lines>
  <Paragraphs>5</Paragraphs>
  <ScaleCrop>false</ScaleCrop>
  <Company>888TIGER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AmiLiu</dc:creator>
  <cp:keywords/>
  <cp:lastModifiedBy>工讀生</cp:lastModifiedBy>
  <cp:revision>13</cp:revision>
  <dcterms:created xsi:type="dcterms:W3CDTF">2014-12-05T03:46:00Z</dcterms:created>
  <dcterms:modified xsi:type="dcterms:W3CDTF">2014-12-12T09:44:00Z</dcterms:modified>
</cp:coreProperties>
</file>